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DE" w:rsidRDefault="00543B39" w:rsidP="00C8227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3B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7.35pt;margin-top:0;width:240.3pt;height:66.25pt;z-index:1">
            <v:imagedata r:id="rId5" o:title="logo"/>
            <w10:wrap type="square" side="left"/>
          </v:shape>
        </w:pict>
      </w:r>
      <w:r w:rsidR="00C8227D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</w:r>
    </w:p>
    <w:p w:rsidR="00BB75A1" w:rsidRPr="00C8227D" w:rsidRDefault="00C8227D" w:rsidP="00BF2BEE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C8227D">
        <w:rPr>
          <w:rFonts w:ascii="Times New Roman" w:eastAsia="Times New Roman" w:hAnsi="Times New Roman"/>
          <w:b/>
          <w:sz w:val="28"/>
          <w:szCs w:val="28"/>
          <w:lang w:eastAsia="pl-PL"/>
        </w:rPr>
        <w:t>Terminarz wywozu odpadów z terenu Gminy Krzyżanów</w:t>
      </w:r>
    </w:p>
    <w:p w:rsidR="0098671B" w:rsidRPr="0098671B" w:rsidRDefault="00DF4BD3" w:rsidP="0098671B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  <w:sz w:val="28"/>
          <w:szCs w:val="28"/>
        </w:rPr>
        <w:t xml:space="preserve">2013 r </w:t>
      </w:r>
      <w:r w:rsidR="00476300">
        <w:rPr>
          <w:rFonts w:ascii="Arial Narrow" w:hAnsi="Arial Narrow" w:cs="Arial"/>
          <w:b/>
          <w:sz w:val="28"/>
          <w:szCs w:val="28"/>
        </w:rPr>
        <w:t>–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="00476300">
        <w:rPr>
          <w:rFonts w:ascii="Arial Narrow" w:hAnsi="Arial Narrow" w:cs="Arial"/>
          <w:b/>
          <w:sz w:val="28"/>
          <w:szCs w:val="28"/>
        </w:rPr>
        <w:t>Gmina Krzyżanów</w:t>
      </w:r>
      <w:r w:rsidR="0098671B" w:rsidRPr="0098671B">
        <w:rPr>
          <w:rFonts w:ascii="Arial Narrow" w:hAnsi="Arial Narrow" w:cs="Arial"/>
          <w:sz w:val="28"/>
          <w:szCs w:val="28"/>
        </w:rPr>
        <w:t xml:space="preserve">  </w:t>
      </w:r>
    </w:p>
    <w:p w:rsidR="00ED029B" w:rsidRDefault="00BB75A1" w:rsidP="00BB75A1">
      <w:pPr>
        <w:spacing w:after="0" w:line="240" w:lineRule="auto"/>
        <w:rPr>
          <w:rFonts w:ascii="Arial Narrow" w:eastAsia="Times New Roman" w:hAnsi="Arial Narrow"/>
          <w:b/>
          <w:sz w:val="28"/>
          <w:szCs w:val="24"/>
          <w:lang w:eastAsia="pl-PL"/>
        </w:rPr>
      </w:pPr>
      <w:r w:rsidRPr="009F6963">
        <w:rPr>
          <w:rFonts w:ascii="Arial Narrow" w:eastAsia="Times New Roman" w:hAnsi="Arial Narrow"/>
          <w:b/>
          <w:sz w:val="28"/>
          <w:szCs w:val="24"/>
          <w:lang w:eastAsia="pl-PL"/>
        </w:rPr>
        <w:t xml:space="preserve">Rejon 1 – </w:t>
      </w:r>
      <w:r w:rsidR="00476300">
        <w:rPr>
          <w:rFonts w:ascii="Arial Narrow" w:eastAsia="Times New Roman" w:hAnsi="Arial Narrow"/>
          <w:b/>
          <w:sz w:val="28"/>
          <w:szCs w:val="24"/>
          <w:lang w:eastAsia="pl-PL"/>
        </w:rPr>
        <w:t xml:space="preserve">Sokół, Złotniki, Uroczysko Leśne, Kaszewy Dworne, Kaszewy </w:t>
      </w:r>
      <w:r w:rsidR="00290027">
        <w:rPr>
          <w:rFonts w:ascii="Arial Narrow" w:eastAsia="Times New Roman" w:hAnsi="Arial Narrow"/>
          <w:b/>
          <w:sz w:val="28"/>
          <w:szCs w:val="24"/>
          <w:lang w:eastAsia="pl-PL"/>
        </w:rPr>
        <w:t xml:space="preserve">- </w:t>
      </w:r>
      <w:r w:rsidR="00476300">
        <w:rPr>
          <w:rFonts w:ascii="Arial Narrow" w:eastAsia="Times New Roman" w:hAnsi="Arial Narrow"/>
          <w:b/>
          <w:sz w:val="28"/>
          <w:szCs w:val="24"/>
          <w:lang w:eastAsia="pl-PL"/>
        </w:rPr>
        <w:t xml:space="preserve">Kolonia, Kaszewy Kościelne, Różanowice, Krzyżanów, Żakowice, Krzyżanówek, Władysławów, Julianów, </w:t>
      </w:r>
      <w:proofErr w:type="spellStart"/>
      <w:r w:rsidR="00476300">
        <w:rPr>
          <w:rFonts w:ascii="Arial Narrow" w:eastAsia="Times New Roman" w:hAnsi="Arial Narrow"/>
          <w:b/>
          <w:sz w:val="28"/>
          <w:szCs w:val="24"/>
          <w:lang w:eastAsia="pl-PL"/>
        </w:rPr>
        <w:t>Psurze</w:t>
      </w:r>
      <w:proofErr w:type="spellEnd"/>
      <w:r w:rsidR="00476300">
        <w:rPr>
          <w:rFonts w:ascii="Arial Narrow" w:eastAsia="Times New Roman" w:hAnsi="Arial Narrow"/>
          <w:b/>
          <w:sz w:val="28"/>
          <w:szCs w:val="24"/>
          <w:lang w:eastAsia="pl-PL"/>
        </w:rPr>
        <w:t xml:space="preserve">, Kaszewy Tarnowskie, Kaszewy </w:t>
      </w:r>
      <w:r w:rsidR="00D32F63">
        <w:rPr>
          <w:rFonts w:ascii="Arial Narrow" w:eastAsia="Times New Roman" w:hAnsi="Arial Narrow"/>
          <w:b/>
          <w:sz w:val="28"/>
          <w:szCs w:val="24"/>
          <w:lang w:eastAsia="pl-PL"/>
        </w:rPr>
        <w:t xml:space="preserve">- </w:t>
      </w:r>
      <w:r w:rsidR="00476300">
        <w:rPr>
          <w:rFonts w:ascii="Arial Narrow" w:eastAsia="Times New Roman" w:hAnsi="Arial Narrow"/>
          <w:b/>
          <w:sz w:val="28"/>
          <w:szCs w:val="24"/>
          <w:lang w:eastAsia="pl-PL"/>
        </w:rPr>
        <w:t xml:space="preserve">Spójnia, Wojciechowice, Zawady, Konary, Rustów, Morele, </w:t>
      </w:r>
      <w:proofErr w:type="spellStart"/>
      <w:r w:rsidR="00476300">
        <w:rPr>
          <w:rFonts w:ascii="Arial Narrow" w:eastAsia="Times New Roman" w:hAnsi="Arial Narrow"/>
          <w:b/>
          <w:sz w:val="28"/>
          <w:szCs w:val="24"/>
          <w:lang w:eastAsia="pl-PL"/>
        </w:rPr>
        <w:t>Jagniątki</w:t>
      </w:r>
      <w:proofErr w:type="spellEnd"/>
    </w:p>
    <w:p w:rsidR="00476300" w:rsidRPr="009F6963" w:rsidRDefault="00476300" w:rsidP="00BB75A1">
      <w:pPr>
        <w:spacing w:after="0" w:line="240" w:lineRule="auto"/>
        <w:rPr>
          <w:rFonts w:ascii="Arial Narrow" w:eastAsia="Times New Roman" w:hAnsi="Arial Narrow"/>
          <w:b/>
          <w:sz w:val="28"/>
          <w:szCs w:val="24"/>
          <w:lang w:eastAsia="pl-PL"/>
        </w:rPr>
      </w:pPr>
    </w:p>
    <w:p w:rsidR="00BB75A1" w:rsidRPr="009F6963" w:rsidRDefault="00BB75A1" w:rsidP="00BB75A1">
      <w:pPr>
        <w:spacing w:after="0" w:line="240" w:lineRule="auto"/>
        <w:rPr>
          <w:rFonts w:ascii="Arial Narrow" w:eastAsia="Times New Roman" w:hAnsi="Arial Narrow"/>
          <w:b/>
          <w:sz w:val="28"/>
          <w:szCs w:val="24"/>
          <w:lang w:eastAsia="pl-PL"/>
        </w:rPr>
      </w:pPr>
      <w:r w:rsidRPr="009F6963">
        <w:rPr>
          <w:rFonts w:ascii="Arial Narrow" w:eastAsia="Times New Roman" w:hAnsi="Arial Narrow"/>
          <w:b/>
          <w:sz w:val="28"/>
          <w:szCs w:val="24"/>
          <w:lang w:eastAsia="pl-PL"/>
        </w:rPr>
        <w:t xml:space="preserve">Rejon 2 – </w:t>
      </w:r>
      <w:r w:rsidR="00476300">
        <w:rPr>
          <w:rFonts w:ascii="Arial Narrow" w:eastAsia="Times New Roman" w:hAnsi="Arial Narrow"/>
          <w:b/>
          <w:sz w:val="28"/>
          <w:szCs w:val="24"/>
          <w:lang w:eastAsia="pl-PL"/>
        </w:rPr>
        <w:t xml:space="preserve">Wały A, Wały B, Wierzyki, Kuchary, Marcinów, Malewo, Świniary, Pawłowice, Pawłowice, Łęki Kościelne, Łęki Górne, Młogoszyn, Mieczysławów, Stefanów, Micin, Rybie, Siemienice, Siemieniczki, Brony, Ktery, </w:t>
      </w:r>
      <w:r w:rsidR="002E2A6D">
        <w:rPr>
          <w:rFonts w:ascii="Arial Narrow" w:eastAsia="Times New Roman" w:hAnsi="Arial Narrow"/>
          <w:b/>
          <w:sz w:val="28"/>
          <w:szCs w:val="24"/>
          <w:lang w:eastAsia="pl-PL"/>
        </w:rPr>
        <w:t xml:space="preserve">Nowe </w:t>
      </w:r>
      <w:r w:rsidR="00476300">
        <w:rPr>
          <w:rFonts w:ascii="Arial Narrow" w:eastAsia="Times New Roman" w:hAnsi="Arial Narrow"/>
          <w:b/>
          <w:sz w:val="28"/>
          <w:szCs w:val="24"/>
          <w:lang w:eastAsia="pl-PL"/>
        </w:rPr>
        <w:t xml:space="preserve">Ktery, Ktery </w:t>
      </w:r>
      <w:r w:rsidR="00052635">
        <w:rPr>
          <w:rFonts w:ascii="Arial Narrow" w:eastAsia="Times New Roman" w:hAnsi="Arial Narrow"/>
          <w:b/>
          <w:sz w:val="28"/>
          <w:szCs w:val="24"/>
          <w:lang w:eastAsia="pl-PL"/>
        </w:rPr>
        <w:t>(</w:t>
      </w:r>
      <w:r w:rsidR="00476300">
        <w:rPr>
          <w:rFonts w:ascii="Arial Narrow" w:eastAsia="Times New Roman" w:hAnsi="Arial Narrow"/>
          <w:b/>
          <w:sz w:val="28"/>
          <w:szCs w:val="24"/>
          <w:lang w:eastAsia="pl-PL"/>
        </w:rPr>
        <w:t>SK</w:t>
      </w:r>
      <w:r w:rsidR="00052635">
        <w:rPr>
          <w:rFonts w:ascii="Arial Narrow" w:eastAsia="Times New Roman" w:hAnsi="Arial Narrow"/>
          <w:b/>
          <w:sz w:val="28"/>
          <w:szCs w:val="24"/>
          <w:lang w:eastAsia="pl-PL"/>
        </w:rPr>
        <w:t>)</w:t>
      </w:r>
      <w:r w:rsidR="00476300">
        <w:rPr>
          <w:rFonts w:ascii="Arial Narrow" w:eastAsia="Times New Roman" w:hAnsi="Arial Narrow"/>
          <w:b/>
          <w:sz w:val="28"/>
          <w:szCs w:val="24"/>
          <w:lang w:eastAsia="pl-PL"/>
        </w:rPr>
        <w:t>, Wyręby Siemienickie, Goliszew, Zieleniew</w:t>
      </w:r>
    </w:p>
    <w:p w:rsidR="0098671B" w:rsidRDefault="0098671B" w:rsidP="0098671B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76300" w:rsidRDefault="00476300" w:rsidP="0098671B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D013F4" w:rsidRDefault="00D013F4" w:rsidP="00D013F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B33EBF">
        <w:rPr>
          <w:rFonts w:ascii="Arial Narrow" w:hAnsi="Arial Narrow"/>
          <w:sz w:val="24"/>
          <w:szCs w:val="24"/>
        </w:rPr>
        <w:t>EKO SERWIS Sp. z o.o.</w:t>
      </w:r>
      <w:r>
        <w:rPr>
          <w:rFonts w:ascii="Arial Narrow" w:hAnsi="Arial Narrow"/>
          <w:sz w:val="24"/>
          <w:szCs w:val="24"/>
        </w:rPr>
        <w:t xml:space="preserve"> poniżej informuje o terminach odbioru odpadów od 01.07.2013 r. do 31.12.2013.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653"/>
        <w:gridCol w:w="1325"/>
        <w:gridCol w:w="1326"/>
        <w:gridCol w:w="1326"/>
        <w:gridCol w:w="1326"/>
        <w:gridCol w:w="1326"/>
        <w:gridCol w:w="1324"/>
      </w:tblGrid>
      <w:tr w:rsidR="00D013F4" w:rsidRPr="0098734E" w:rsidTr="0050741E">
        <w:trPr>
          <w:trHeight w:val="340"/>
          <w:jc w:val="center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8734E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  <w:t>2013</w:t>
            </w:r>
          </w:p>
        </w:tc>
        <w:tc>
          <w:tcPr>
            <w:tcW w:w="62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625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625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 w:rsidRPr="0098734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25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25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624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X</w:t>
            </w:r>
            <w:r w:rsidRPr="0098734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</w:tr>
      <w:tr w:rsidR="00D013F4" w:rsidRPr="0098734E" w:rsidTr="0050741E">
        <w:trPr>
          <w:trHeight w:val="75"/>
          <w:jc w:val="center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 w:rsidRPr="0098734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62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3F4" w:rsidRPr="0098734E" w:rsidRDefault="00D013F4" w:rsidP="0050741E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3F4" w:rsidRPr="0098734E" w:rsidRDefault="00D013F4" w:rsidP="0050741E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3F4" w:rsidRPr="0098734E" w:rsidRDefault="00D013F4" w:rsidP="0050741E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3F4" w:rsidRPr="0098734E" w:rsidRDefault="00D013F4" w:rsidP="0050741E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3F4" w:rsidRPr="0098734E" w:rsidRDefault="00D013F4" w:rsidP="0050741E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3F4" w:rsidRPr="0098734E" w:rsidRDefault="00D013F4" w:rsidP="0050741E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013F4" w:rsidRPr="0098734E" w:rsidTr="0050741E">
        <w:trPr>
          <w:trHeight w:val="315"/>
          <w:jc w:val="center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 w:rsidRPr="0098734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3749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 w:rsidRPr="0098734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Dzień miesiąca</w:t>
            </w:r>
          </w:p>
        </w:tc>
      </w:tr>
      <w:tr w:rsidR="00D013F4" w:rsidRPr="0098734E" w:rsidTr="0050741E">
        <w:trPr>
          <w:trHeight w:val="465"/>
          <w:jc w:val="center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Rejon 1 - </w:t>
            </w:r>
            <w:r w:rsidRPr="0098734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Komunalne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D013F4" w:rsidRPr="0098734E" w:rsidTr="0050741E">
        <w:trPr>
          <w:trHeight w:val="465"/>
          <w:jc w:val="center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Rejon 1 – żółte worki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013F4" w:rsidRPr="0098734E" w:rsidTr="0050741E">
        <w:trPr>
          <w:trHeight w:val="465"/>
          <w:jc w:val="center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Rejon 1 – zielone worki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4B7862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</w:tr>
      <w:tr w:rsidR="00D013F4" w:rsidRPr="0098734E" w:rsidTr="0050741E">
        <w:trPr>
          <w:trHeight w:val="465"/>
          <w:jc w:val="center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Rejon 2 - </w:t>
            </w:r>
            <w:r w:rsidRPr="0098734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Komunalne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D013F4" w:rsidRPr="0098734E" w:rsidTr="0050741E">
        <w:trPr>
          <w:trHeight w:val="465"/>
          <w:jc w:val="center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Rejon 2 – żółte worki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013F4" w:rsidRPr="0098734E" w:rsidTr="0050741E">
        <w:trPr>
          <w:trHeight w:val="465"/>
          <w:jc w:val="center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F4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Rejon 2 – zielone worki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4B7862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13F4" w:rsidRPr="0098734E" w:rsidRDefault="00D013F4" w:rsidP="005074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13F4" w:rsidRPr="0098734E" w:rsidRDefault="00D013F4" w:rsidP="004B78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4B7862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</w:tbl>
    <w:p w:rsidR="00D013F4" w:rsidRDefault="00D013F4" w:rsidP="00D013F4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D013F4" w:rsidRDefault="00D013F4" w:rsidP="00D013F4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Odpady wielkogabarytowe – objazdówka – 17/09/2013</w:t>
      </w:r>
      <w:r w:rsidR="00164796">
        <w:rPr>
          <w:rFonts w:ascii="Arial Narrow" w:hAnsi="Arial Narrow"/>
          <w:b/>
          <w:sz w:val="24"/>
          <w:szCs w:val="24"/>
        </w:rPr>
        <w:t xml:space="preserve"> ( tego dnia przez wskazane miejscowości będzie przejeżdżał  pojazd i odbierał odpady wielkogabarytowe np. meble.</w:t>
      </w:r>
    </w:p>
    <w:p w:rsidR="00D013F4" w:rsidRDefault="00D013F4" w:rsidP="00D013F4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ZSEE </w:t>
      </w:r>
      <w:r w:rsidR="00C23C85">
        <w:rPr>
          <w:rFonts w:ascii="Arial Narrow" w:hAnsi="Arial Narrow"/>
          <w:b/>
          <w:sz w:val="24"/>
          <w:szCs w:val="24"/>
        </w:rPr>
        <w:t>(elektryczne i elektroniczne)</w:t>
      </w:r>
      <w:r w:rsidR="00164796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– objazdówka – 24/10/2013</w:t>
      </w:r>
      <w:r w:rsidR="00164796">
        <w:rPr>
          <w:rFonts w:ascii="Arial Narrow" w:hAnsi="Arial Narrow"/>
          <w:b/>
          <w:sz w:val="24"/>
          <w:szCs w:val="24"/>
        </w:rPr>
        <w:t xml:space="preserve"> ( tego dnia przez wskazane miejscowości będzie przejeżdżał pojazd i odbierał  np.: lodówki, radia, , komputery, czajniki itp.)</w:t>
      </w:r>
    </w:p>
    <w:p w:rsidR="00D013F4" w:rsidRDefault="00D013F4" w:rsidP="00D013F4">
      <w:pPr>
        <w:spacing w:after="0"/>
        <w:rPr>
          <w:rFonts w:ascii="Arial Narrow" w:hAnsi="Arial Narrow"/>
          <w:sz w:val="24"/>
          <w:szCs w:val="24"/>
        </w:rPr>
      </w:pPr>
    </w:p>
    <w:p w:rsidR="00D013F4" w:rsidRDefault="00D013F4" w:rsidP="00D013F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B33EBF">
        <w:rPr>
          <w:rFonts w:ascii="Arial Narrow" w:hAnsi="Arial Narrow"/>
          <w:b/>
          <w:sz w:val="24"/>
          <w:szCs w:val="24"/>
        </w:rPr>
        <w:t>Uwaga: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164796">
        <w:rPr>
          <w:rFonts w:ascii="Arial Narrow" w:hAnsi="Arial Narrow"/>
          <w:b/>
          <w:sz w:val="24"/>
          <w:szCs w:val="24"/>
        </w:rPr>
        <w:t>Do żółtych</w:t>
      </w:r>
      <w:r w:rsidRPr="00B33EBF">
        <w:rPr>
          <w:rFonts w:ascii="Arial Narrow" w:hAnsi="Arial Narrow"/>
          <w:sz w:val="24"/>
          <w:szCs w:val="24"/>
        </w:rPr>
        <w:t xml:space="preserve"> worków można wkładać wyłącznie butelki plastikowe po napojach i  chemii domowej, puszki </w:t>
      </w:r>
      <w:r w:rsidR="00C23C85">
        <w:rPr>
          <w:rFonts w:ascii="Arial Narrow" w:hAnsi="Arial Narrow"/>
          <w:sz w:val="24"/>
          <w:szCs w:val="24"/>
        </w:rPr>
        <w:t xml:space="preserve">metalowe </w:t>
      </w:r>
      <w:r w:rsidRPr="00B33EBF">
        <w:rPr>
          <w:rFonts w:ascii="Arial Narrow" w:hAnsi="Arial Narrow"/>
          <w:sz w:val="24"/>
          <w:szCs w:val="24"/>
        </w:rPr>
        <w:t>po napojach i  konserwach</w:t>
      </w:r>
      <w:r>
        <w:rPr>
          <w:rFonts w:ascii="Arial Narrow" w:hAnsi="Arial Narrow"/>
          <w:sz w:val="24"/>
          <w:szCs w:val="24"/>
        </w:rPr>
        <w:t xml:space="preserve">, </w:t>
      </w:r>
      <w:r w:rsidRPr="00B33EBF">
        <w:rPr>
          <w:rFonts w:ascii="Arial Narrow" w:hAnsi="Arial Narrow"/>
          <w:sz w:val="24"/>
          <w:szCs w:val="24"/>
        </w:rPr>
        <w:t>makulaturę</w:t>
      </w:r>
      <w:r w:rsidRPr="00980CB0">
        <w:rPr>
          <w:rFonts w:ascii="Arial Narrow" w:hAnsi="Arial Narrow"/>
          <w:sz w:val="24"/>
          <w:szCs w:val="24"/>
        </w:rPr>
        <w:t xml:space="preserve"> </w:t>
      </w:r>
      <w:r w:rsidRPr="00B33EBF">
        <w:rPr>
          <w:rFonts w:ascii="Arial Narrow" w:hAnsi="Arial Narrow"/>
          <w:sz w:val="24"/>
          <w:szCs w:val="24"/>
        </w:rPr>
        <w:t>oraz</w:t>
      </w:r>
      <w:r>
        <w:rPr>
          <w:rFonts w:ascii="Arial Narrow" w:hAnsi="Arial Narrow"/>
          <w:sz w:val="24"/>
          <w:szCs w:val="24"/>
        </w:rPr>
        <w:t xml:space="preserve"> opakowania wielomateriałowe po sokach, napojach, mleku</w:t>
      </w:r>
      <w:r w:rsidRPr="00B33EBF">
        <w:rPr>
          <w:rFonts w:ascii="Arial Narrow" w:hAnsi="Arial Narrow"/>
          <w:sz w:val="24"/>
          <w:szCs w:val="24"/>
        </w:rPr>
        <w:t>.</w:t>
      </w:r>
    </w:p>
    <w:p w:rsidR="00D013F4" w:rsidRPr="007548E9" w:rsidRDefault="00D013F4" w:rsidP="00D013F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64796">
        <w:rPr>
          <w:rFonts w:ascii="Arial Narrow" w:hAnsi="Arial Narrow"/>
          <w:b/>
          <w:sz w:val="24"/>
          <w:szCs w:val="24"/>
        </w:rPr>
        <w:t>Do zielonych</w:t>
      </w:r>
      <w:r>
        <w:rPr>
          <w:rFonts w:ascii="Arial Narrow" w:hAnsi="Arial Narrow"/>
          <w:sz w:val="24"/>
          <w:szCs w:val="24"/>
        </w:rPr>
        <w:t xml:space="preserve"> worków można wkładać wyłącznie opakowania szklane np. butelki lub słoiki.</w:t>
      </w:r>
    </w:p>
    <w:p w:rsidR="00D013F4" w:rsidRPr="00B33EBF" w:rsidRDefault="00D013F4" w:rsidP="00D013F4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B33EBF">
        <w:rPr>
          <w:rFonts w:ascii="Arial Narrow" w:hAnsi="Arial Narrow"/>
          <w:b/>
          <w:sz w:val="24"/>
          <w:szCs w:val="24"/>
        </w:rPr>
        <w:t>Worki z inną zawartością nie będą odbierane!</w:t>
      </w:r>
    </w:p>
    <w:p w:rsidR="00D013F4" w:rsidRPr="00B33EBF" w:rsidRDefault="00D013F4" w:rsidP="00D013F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B33EBF">
        <w:rPr>
          <w:rFonts w:ascii="Arial Narrow" w:hAnsi="Arial Narrow"/>
          <w:sz w:val="24"/>
          <w:szCs w:val="24"/>
        </w:rPr>
        <w:t>Worki można odbierać u kierowcy lub w  siedzibie firmy.</w:t>
      </w:r>
    </w:p>
    <w:p w:rsidR="00D013F4" w:rsidRPr="00980CB0" w:rsidRDefault="00D013F4" w:rsidP="00D013F4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980CB0">
        <w:rPr>
          <w:rFonts w:ascii="Arial Narrow" w:hAnsi="Arial Narrow"/>
          <w:sz w:val="24"/>
          <w:szCs w:val="24"/>
        </w:rPr>
        <w:t>Odpady należy wystawić w dniu wywozu  przed bramę posesji o godzinie 7</w:t>
      </w:r>
      <w:r w:rsidRPr="00980CB0">
        <w:rPr>
          <w:rFonts w:ascii="Arial Narrow" w:hAnsi="Arial Narrow"/>
          <w:sz w:val="24"/>
          <w:szCs w:val="24"/>
          <w:vertAlign w:val="superscript"/>
        </w:rPr>
        <w:t>00</w:t>
      </w:r>
      <w:r>
        <w:rPr>
          <w:rFonts w:ascii="Arial Narrow" w:hAnsi="Arial Narrow"/>
          <w:sz w:val="24"/>
          <w:szCs w:val="24"/>
        </w:rPr>
        <w:t>,</w:t>
      </w:r>
      <w:r w:rsidRPr="00980CB0">
        <w:rPr>
          <w:rFonts w:ascii="Arial Narrow" w:hAnsi="Arial Narrow"/>
          <w:sz w:val="24"/>
          <w:szCs w:val="24"/>
        </w:rPr>
        <w:t xml:space="preserve"> </w:t>
      </w:r>
      <w:r w:rsidRPr="00980CB0">
        <w:rPr>
          <w:rFonts w:ascii="Arial Narrow" w:eastAsia="Times New Roman" w:hAnsi="Arial Narrow"/>
          <w:sz w:val="24"/>
          <w:szCs w:val="24"/>
          <w:lang w:eastAsia="pl-PL"/>
        </w:rPr>
        <w:t xml:space="preserve">a jeżeli zabudowanie znajduje się w </w:t>
      </w:r>
      <w:r>
        <w:rPr>
          <w:rFonts w:ascii="Arial Narrow" w:eastAsia="Times New Roman" w:hAnsi="Arial Narrow"/>
          <w:sz w:val="24"/>
          <w:szCs w:val="24"/>
          <w:lang w:eastAsia="pl-PL"/>
        </w:rPr>
        <w:t>z</w:t>
      </w:r>
      <w:r w:rsidRPr="00980CB0">
        <w:rPr>
          <w:rFonts w:ascii="Arial Narrow" w:eastAsia="Times New Roman" w:hAnsi="Arial Narrow"/>
          <w:sz w:val="24"/>
          <w:szCs w:val="24"/>
          <w:lang w:eastAsia="pl-PL"/>
        </w:rPr>
        <w:t>nacznej odległości od drogi po</w:t>
      </w:r>
      <w:r>
        <w:rPr>
          <w:rFonts w:ascii="Arial Narrow" w:eastAsia="Times New Roman" w:hAnsi="Arial Narrow"/>
          <w:sz w:val="24"/>
          <w:szCs w:val="24"/>
          <w:lang w:eastAsia="pl-PL"/>
        </w:rPr>
        <w:t>,</w:t>
      </w:r>
      <w:r w:rsidRPr="00980CB0">
        <w:rPr>
          <w:rFonts w:ascii="Arial Narrow" w:eastAsia="Times New Roman" w:hAnsi="Arial Narrow"/>
          <w:sz w:val="24"/>
          <w:szCs w:val="24"/>
          <w:lang w:eastAsia="pl-PL"/>
        </w:rPr>
        <w:t xml:space="preserve"> której jedzie pojazd specjalistyczny zbierający odpady to nie dalej niż 15m. od jej  osi.</w:t>
      </w:r>
    </w:p>
    <w:p w:rsidR="00D013F4" w:rsidRPr="00B33EBF" w:rsidRDefault="00D013F4" w:rsidP="00D013F4">
      <w:pPr>
        <w:spacing w:after="0"/>
        <w:rPr>
          <w:rFonts w:ascii="Arial Narrow" w:hAnsi="Arial Narrow"/>
          <w:sz w:val="24"/>
          <w:szCs w:val="24"/>
        </w:rPr>
      </w:pPr>
    </w:p>
    <w:p w:rsidR="00D013F4" w:rsidRDefault="00D013F4" w:rsidP="00D013F4">
      <w:pPr>
        <w:spacing w:after="0"/>
        <w:rPr>
          <w:rFonts w:ascii="Arial Narrow" w:hAnsi="Arial Narrow"/>
          <w:sz w:val="24"/>
          <w:szCs w:val="24"/>
        </w:rPr>
      </w:pPr>
      <w:r w:rsidRPr="00B33EBF">
        <w:rPr>
          <w:rFonts w:ascii="Arial Narrow" w:hAnsi="Arial Narrow"/>
          <w:sz w:val="24"/>
          <w:szCs w:val="24"/>
        </w:rPr>
        <w:t xml:space="preserve">Uwagi </w:t>
      </w:r>
      <w:r>
        <w:rPr>
          <w:rFonts w:ascii="Arial Narrow" w:hAnsi="Arial Narrow"/>
          <w:sz w:val="24"/>
          <w:szCs w:val="24"/>
        </w:rPr>
        <w:t>lub pytania mogą być zgłaszane</w:t>
      </w:r>
      <w:r w:rsidRPr="00B33EB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 siedzibie firmy lub </w:t>
      </w:r>
      <w:r w:rsidRPr="00B33EBF">
        <w:rPr>
          <w:rFonts w:ascii="Arial Narrow" w:hAnsi="Arial Narrow"/>
          <w:sz w:val="24"/>
          <w:szCs w:val="24"/>
        </w:rPr>
        <w:t>pod numerem tel</w:t>
      </w:r>
      <w:r>
        <w:rPr>
          <w:rFonts w:ascii="Arial Narrow" w:hAnsi="Arial Narrow"/>
          <w:sz w:val="24"/>
          <w:szCs w:val="24"/>
        </w:rPr>
        <w:t>.:</w:t>
      </w:r>
    </w:p>
    <w:p w:rsidR="00D013F4" w:rsidRDefault="00D013F4" w:rsidP="00D013F4">
      <w:pPr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  <w:r w:rsidRPr="00980CB0">
        <w:rPr>
          <w:rFonts w:ascii="Arial Narrow" w:eastAsia="Times New Roman" w:hAnsi="Arial Narrow"/>
          <w:b/>
          <w:bCs/>
          <w:sz w:val="24"/>
          <w:szCs w:val="24"/>
          <w:lang w:eastAsia="pl-PL"/>
        </w:rPr>
        <w:lastRenderedPageBreak/>
        <w:t xml:space="preserve">Przedsiębiorstwo Oczyszczania Miasta Eko Serwis Sp. z o.o. </w:t>
      </w:r>
      <w:r w:rsidRPr="00980CB0">
        <w:rPr>
          <w:rFonts w:ascii="Arial Narrow" w:eastAsia="Times New Roman" w:hAnsi="Arial Narrow"/>
          <w:sz w:val="24"/>
          <w:szCs w:val="24"/>
          <w:lang w:eastAsia="pl-PL"/>
        </w:rPr>
        <w:br/>
        <w:t xml:space="preserve">ul. 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Łąkoszyńska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 xml:space="preserve"> 127, 99-300 Kutno</w:t>
      </w:r>
      <w:r w:rsidRPr="00980CB0">
        <w:rPr>
          <w:rFonts w:ascii="Arial Narrow" w:eastAsia="Times New Roman" w:hAnsi="Arial Narrow"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lang w:eastAsia="pl-PL"/>
        </w:rPr>
        <w:t>Tel.: (+48) 24-254-29-87 - Logistyka</w:t>
      </w:r>
    </w:p>
    <w:p w:rsidR="00476300" w:rsidRDefault="00D013F4" w:rsidP="00AE484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Tel.: (+48) 24-254-29-86 - Biuro Obsługi Klienta</w:t>
      </w:r>
    </w:p>
    <w:sectPr w:rsidR="00476300" w:rsidSect="000278E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ADE"/>
    <w:rsid w:val="000278E1"/>
    <w:rsid w:val="00034C22"/>
    <w:rsid w:val="00052635"/>
    <w:rsid w:val="0005712E"/>
    <w:rsid w:val="000740E6"/>
    <w:rsid w:val="001215D3"/>
    <w:rsid w:val="00133931"/>
    <w:rsid w:val="00164796"/>
    <w:rsid w:val="001A6901"/>
    <w:rsid w:val="00221066"/>
    <w:rsid w:val="00246DD1"/>
    <w:rsid w:val="00275453"/>
    <w:rsid w:val="00290027"/>
    <w:rsid w:val="002E2A6D"/>
    <w:rsid w:val="003021E9"/>
    <w:rsid w:val="00303B84"/>
    <w:rsid w:val="003473C4"/>
    <w:rsid w:val="00366169"/>
    <w:rsid w:val="00373C70"/>
    <w:rsid w:val="003D3D57"/>
    <w:rsid w:val="003E1B80"/>
    <w:rsid w:val="0042560C"/>
    <w:rsid w:val="00476300"/>
    <w:rsid w:val="004B7862"/>
    <w:rsid w:val="0050741E"/>
    <w:rsid w:val="00543B39"/>
    <w:rsid w:val="005C41F5"/>
    <w:rsid w:val="00612860"/>
    <w:rsid w:val="006E741C"/>
    <w:rsid w:val="007B3281"/>
    <w:rsid w:val="007B4692"/>
    <w:rsid w:val="0080165A"/>
    <w:rsid w:val="00863D41"/>
    <w:rsid w:val="008A24DB"/>
    <w:rsid w:val="008D4D8B"/>
    <w:rsid w:val="00903921"/>
    <w:rsid w:val="00943EF9"/>
    <w:rsid w:val="00980CB0"/>
    <w:rsid w:val="0098671B"/>
    <w:rsid w:val="0098734E"/>
    <w:rsid w:val="009B717C"/>
    <w:rsid w:val="009F6963"/>
    <w:rsid w:val="00A71160"/>
    <w:rsid w:val="00AA1230"/>
    <w:rsid w:val="00AD299A"/>
    <w:rsid w:val="00AE484F"/>
    <w:rsid w:val="00AE78E0"/>
    <w:rsid w:val="00B33EBF"/>
    <w:rsid w:val="00B413F9"/>
    <w:rsid w:val="00B437D8"/>
    <w:rsid w:val="00B473CC"/>
    <w:rsid w:val="00BB75A1"/>
    <w:rsid w:val="00BF2BEE"/>
    <w:rsid w:val="00C23C85"/>
    <w:rsid w:val="00C8227D"/>
    <w:rsid w:val="00D013F4"/>
    <w:rsid w:val="00D32F63"/>
    <w:rsid w:val="00D64287"/>
    <w:rsid w:val="00DF4BD3"/>
    <w:rsid w:val="00E47C49"/>
    <w:rsid w:val="00E65ADE"/>
    <w:rsid w:val="00EB73ED"/>
    <w:rsid w:val="00ED029B"/>
    <w:rsid w:val="00F34A87"/>
    <w:rsid w:val="00FC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B3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5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E65ADE"/>
    <w:rPr>
      <w:color w:val="0000FF"/>
      <w:u w:val="single"/>
    </w:rPr>
  </w:style>
  <w:style w:type="paragraph" w:customStyle="1" w:styleId="Zawartotabeli">
    <w:name w:val="Zawartość tabeli"/>
    <w:basedOn w:val="Normalny"/>
    <w:rsid w:val="00B33EB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01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6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4DFF-2E8A-41A1-A85E-82C308B0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Toensmeier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zimniak</dc:creator>
  <cp:keywords/>
  <dc:description/>
  <cp:lastModifiedBy>admin</cp:lastModifiedBy>
  <cp:revision>2</cp:revision>
  <cp:lastPrinted>2013-06-20T11:05:00Z</cp:lastPrinted>
  <dcterms:created xsi:type="dcterms:W3CDTF">2013-06-20T11:05:00Z</dcterms:created>
  <dcterms:modified xsi:type="dcterms:W3CDTF">2013-06-20T11:05:00Z</dcterms:modified>
</cp:coreProperties>
</file>